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2FCFC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2FCFC" w:val="clear"/>
        </w:rPr>
        <w:t xml:space="preserve">GRAD ZAGREB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2FCFC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2FCFC" w:val="clear"/>
        </w:rPr>
        <w:t xml:space="preserve">OSNOVNA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2FCFC" w:val="clear"/>
        </w:rPr>
        <w:t xml:space="preserve">ŠKOLA DRAGUTINA KUŠLANA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2FCFC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2FCFC" w:val="clear"/>
        </w:rPr>
        <w:t xml:space="preserve">KU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2FCFC" w:val="clear"/>
        </w:rPr>
        <w:t xml:space="preserve">ŠLANOVA 52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2FCFC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2FCFC" w:val="clear"/>
        </w:rPr>
        <w:t xml:space="preserve">Klasa:112-02/23-01/09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2FCFC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2FCFC" w:val="clear"/>
        </w:rPr>
        <w:t xml:space="preserve">Urbroj:251-163/01-23-1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2FCFC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2FCFC" w:val="clear"/>
        </w:rPr>
        <w:t xml:space="preserve">Zagreb, 27.10.2023.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2FCFC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2FCFC" w:val="clear"/>
        </w:rPr>
        <w:t xml:space="preserve"> 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2FCFC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2FCFC" w:val="clear"/>
        </w:rPr>
        <w:t xml:space="preserve">Na temelju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2FCFC" w:val="clear"/>
        </w:rPr>
        <w:t xml:space="preserve">članka 13. Pravilnika o načinu i postupku zapošljavanja u Osnovnoj školi Dragutina Kušlana, a vezano za raspisani natječaj KLASA: 112-02/23-01/09, URBROJ: 251-163/01-23-1 od 21.9.2023. godine za zasnivanje radnog odnosa na radnom mjestu psihologa/ice na određeno puno radno vrijeme, Povjerenstvo donosi: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2FCFC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2FCFC" w:val="clear"/>
        </w:rPr>
        <w:t xml:space="preserve"> 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2FCFC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2FCFC" w:val="clear"/>
        </w:rPr>
        <w:t xml:space="preserve">RANG LISTU KANDIDATA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2FCFC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2FCFC" w:val="clear"/>
        </w:rPr>
        <w:t xml:space="preserve">Slijedom Odluke o na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2FCFC" w:val="clear"/>
        </w:rPr>
        <w:t xml:space="preserve">činu vrednovanja kandidata KLASA:112-02/23-01/09, URBROJ: 251-163/01-23-1 od 23.10.2023. godine Povjerenstvo je dana 27.10.2023. godine obavilo usmeno testiranje kandidata koji su ispunili formalne uvjete natječaja te postigli sljedeće rezultate:</w:t>
      </w:r>
    </w:p>
    <w:tbl>
      <w:tblPr/>
      <w:tblGrid>
        <w:gridCol w:w="2023"/>
        <w:gridCol w:w="4156"/>
        <w:gridCol w:w="3082"/>
      </w:tblGrid>
      <w:tr>
        <w:trPr>
          <w:trHeight w:val="250" w:hRule="auto"/>
          <w:jc w:val="left"/>
        </w:trPr>
        <w:tc>
          <w:tcPr>
            <w:tcW w:w="202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2fcfc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Redni br.kandidata</w:t>
            </w:r>
          </w:p>
        </w:tc>
        <w:tc>
          <w:tcPr>
            <w:tcW w:w="415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2fcfc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Kandidat</w:t>
            </w:r>
          </w:p>
        </w:tc>
        <w:tc>
          <w:tcPr>
            <w:tcW w:w="308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2fcfc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Broj bodova</w:t>
            </w:r>
          </w:p>
        </w:tc>
      </w:tr>
      <w:tr>
        <w:trPr>
          <w:trHeight w:val="250" w:hRule="auto"/>
          <w:jc w:val="left"/>
        </w:trPr>
        <w:tc>
          <w:tcPr>
            <w:tcW w:w="202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2fcfc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1.</w:t>
            </w:r>
          </w:p>
        </w:tc>
        <w:tc>
          <w:tcPr>
            <w:tcW w:w="415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2fcfc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Gabrijela Matkovi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ć</w:t>
            </w:r>
          </w:p>
        </w:tc>
        <w:tc>
          <w:tcPr>
            <w:tcW w:w="308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2fcfc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30</w:t>
            </w:r>
          </w:p>
        </w:tc>
      </w:tr>
      <w:tr>
        <w:trPr>
          <w:trHeight w:val="250" w:hRule="auto"/>
          <w:jc w:val="left"/>
        </w:trPr>
        <w:tc>
          <w:tcPr>
            <w:tcW w:w="202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2fcfc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spacing w:val="0"/>
                <w:position w:val="0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2.</w:t>
            </w:r>
          </w:p>
        </w:tc>
        <w:tc>
          <w:tcPr>
            <w:tcW w:w="415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2fcfc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Jelena Boras</w:t>
            </w:r>
          </w:p>
        </w:tc>
        <w:tc>
          <w:tcPr>
            <w:tcW w:w="308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2fcfc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27</w:t>
            </w:r>
          </w:p>
        </w:tc>
      </w:tr>
      <w:tr>
        <w:trPr>
          <w:trHeight w:val="250" w:hRule="auto"/>
          <w:jc w:val="left"/>
        </w:trPr>
        <w:tc>
          <w:tcPr>
            <w:tcW w:w="202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2fcfc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spacing w:val="0"/>
                <w:position w:val="0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3.</w:t>
            </w:r>
          </w:p>
        </w:tc>
        <w:tc>
          <w:tcPr>
            <w:tcW w:w="415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2fcfc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Filip Petrina</w:t>
            </w:r>
          </w:p>
        </w:tc>
        <w:tc>
          <w:tcPr>
            <w:tcW w:w="308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2fcfc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24</w:t>
            </w:r>
          </w:p>
        </w:tc>
      </w:tr>
      <w:tr>
        <w:trPr>
          <w:trHeight w:val="250" w:hRule="auto"/>
          <w:jc w:val="left"/>
        </w:trPr>
        <w:tc>
          <w:tcPr>
            <w:tcW w:w="202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2fcfc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spacing w:val="0"/>
                <w:position w:val="0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4.</w:t>
            </w:r>
          </w:p>
        </w:tc>
        <w:tc>
          <w:tcPr>
            <w:tcW w:w="415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2fcfc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Zrinka Lon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čar </w:t>
            </w:r>
          </w:p>
        </w:tc>
        <w:tc>
          <w:tcPr>
            <w:tcW w:w="308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2fcfc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23</w:t>
            </w:r>
          </w:p>
        </w:tc>
      </w:tr>
      <w:tr>
        <w:trPr>
          <w:trHeight w:val="250" w:hRule="auto"/>
          <w:jc w:val="left"/>
        </w:trPr>
        <w:tc>
          <w:tcPr>
            <w:tcW w:w="202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2fcfc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15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2fcfc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08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2fcfc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50" w:hRule="auto"/>
          <w:jc w:val="left"/>
        </w:trPr>
        <w:tc>
          <w:tcPr>
            <w:tcW w:w="202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2fcfc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15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2fcfc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08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2fcfc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50" w:hRule="auto"/>
          <w:jc w:val="left"/>
        </w:trPr>
        <w:tc>
          <w:tcPr>
            <w:tcW w:w="202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2fcfc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15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2fcfc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08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2fcfc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50" w:hRule="auto"/>
          <w:jc w:val="left"/>
        </w:trPr>
        <w:tc>
          <w:tcPr>
            <w:tcW w:w="202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2fcfc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15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2fcfc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08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2fcfc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50" w:hRule="auto"/>
          <w:jc w:val="left"/>
        </w:trPr>
        <w:tc>
          <w:tcPr>
            <w:tcW w:w="202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2fcfc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15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2fcfc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08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2fcfc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2FCFC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2FCFC" w:val="clear"/>
        </w:rPr>
        <w:t xml:space="preserve">Povjerenstvo za procjenu i vrednovanje kandidata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